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center"/>
        <w:spacing w:lineRule="exact" w:line="340" w:before="160" w:after="320"/>
        <w:ind w:right="0" w:firstLine="0"/>
        <w:rPr>
          <w:rStyle w:val="PO1"/>
          <w:spacing w:val="0"/>
          <w:color w:val="auto"/>
          <w:position w:val="0"/>
          <w:sz w:val="44"/>
          <w:szCs w:val="44"/>
          <w:smallCaps w:val="0"/>
          <w:rFonts w:ascii="黑体" w:eastAsia="黑体" w:hAnsi="黑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smallCaps w:val="0"/>
          <w:rFonts w:ascii="黑体" w:eastAsia="黑体" w:hAnsi="黑体" w:hint="default"/>
        </w:rPr>
        <w:t xml:space="preserve">监 考 人 员 职 责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1.监考人员应于考前半小时到考试地点，领取试卷和考务材料。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2.仔细核对考场教室，将考场门贴粘贴在教室门外，根据考生名单安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排考生间隔就座，保持座序整齐。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3.仔细核对考生有效证件。查验研究生证和身份证，其中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部分考生为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本科生提前修读研究生课程，监考人员应查验其身份证和学生证。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证件不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全者做好记录并报告考务办。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4.板书内容：考试科目、考试起止时间、监考人员姓名及其他注意事项。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5.监考人员自行掌握考试开始和结束时间；开考前10分钟清理考场，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向学生宣读《考场规则》，提示考生标准化考场考试全程监控。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6.开考前5分钟发放试题及答题册等，提醒学生在试题、答题册、答题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纸、答题卡和草稿纸上填写清楚学号、姓名及所在学院。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7.认真履行监考职责，严格维护考场纪律，督促学生遵守《考场规则》，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诚信考试。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8.及时制止有违纪作弊动机的学生。如发现违纪作弊现象，在《考场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记录》上记录清楚，并要求违纪考生在违纪作弊材料上签名确认，将违纪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作弊材料示意考场监控。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9.认真填写《考场记录》，将缺考及增加考试人员记录清楚，有问题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及时与考务组联系。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 xml:space="preserve">    10.按照任课老师或考务人员要求收取试题、答题册、答题卡、草稿纸</w:t>
      </w:r>
      <w:r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t>等，按照考场学生名单排序整理，交任课老师或考务人员。</w:t>
      </w:r>
    </w:p>
    <w:p>
      <w:pPr>
        <w:pStyle w:val="PO1"/>
        <w:numPr>
          <w:ilvl w:val="0"/>
          <w:numId w:val="0"/>
        </w:numPr>
        <w:jc w:val="left"/>
        <w:spacing w:lineRule="exact" w:line="520" w:before="120" w:after="160"/>
        <w:ind w:right="0" w:firstLine="0"/>
        <w:rPr>
          <w:rStyle w:val="PO1"/>
          <w:spacing w:val="0"/>
          <w:color w:val="auto"/>
          <w:position w:val="0"/>
          <w:sz w:val="28"/>
          <w:szCs w:val="28"/>
          <w:smallCaps w:val="0"/>
          <w:rFonts w:ascii="宋体" w:eastAsia="宋体" w:hAnsi="宋体" w:hint="default"/>
        </w:rPr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360" w:hanging="360"/>
        <w:jc w:val="both"/>
        <w:numPr>
          <w:numId w:val="0"/>
          <w:ilvl w:val="0"/>
        </w:numPr>
      </w:pPr>
      <w:rPr>
        <w:rFonts w:ascii="Calibri" w:eastAsia="宋体" w:hAnsi="Calibri"/>
        <w:shd w:val="clear"/>
        <w:sz w:val="28"/>
        <w:szCs w:val="28"/>
        <w:u w:val="none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numPr>
          <w:numId w:val="0"/>
          <w:ilvl w:val="0"/>
        </w:numPr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rFonts w:ascii="宋体" w:eastAsia="宋体" w:hAnsi="宋体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numPr>
        <w:numId w:val="0"/>
        <w:ilvl w:val="0"/>
      </w:numPr>
      <w:widowControl/>
      <w:wordWrap/>
    </w:pPr>
    <w:rPr>
      <w:rFonts w:ascii="宋体" w:eastAsia="宋体" w:hAnsi="宋体"/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